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405B7F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405B7F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N 3</w:t>
            </w:r>
          </w:p>
          <w:p w:rsidR="00CF5862" w:rsidRPr="00405B7F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CF5862" w:rsidRPr="00405B7F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CF5862" w:rsidRPr="00405B7F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pPr w:leftFromText="180" w:rightFromText="180" w:vertAnchor="text" w:tblpXSpec="center" w:tblpY="1"/>
        <w:tblOverlap w:val="never"/>
        <w:tblW w:w="1019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B7D" w:rsidRDefault="00940B7D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Համայնքային փողոցների լուսավորության համակարգի կառուցում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A4C6F">
              <w:rPr>
                <w:rFonts w:ascii="GHEA Grapalat" w:hAnsi="GHEA Grapalat"/>
                <w:b/>
                <w:lang w:val="hy-AM"/>
              </w:rPr>
              <w:t xml:space="preserve">Աբովյան համայնքի  </w:t>
            </w:r>
          </w:p>
          <w:p w:rsidR="0058523E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1A4C6F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="0058523E" w:rsidRPr="001A4C6F">
              <w:rPr>
                <w:rFonts w:ascii="GHEA Grapalat" w:hAnsi="GHEA Grapalat"/>
                <w:lang w:val="hy-AM"/>
              </w:rPr>
              <w:t>Ա թաղամաս 4-րդ փողոցի,  Ա թաղամաս 5-րդ փողոցի, Ա թաղամաս 6-րդ փողոցի, Բ թաղամաս 3-րդ փողոցի, Բ թաղամաս 4-րդ փողոցի, Բ թաղամաս 5-րդ փողոցի, Բ թաղամաս 7-րդ փողոցի,</w:t>
            </w:r>
          </w:p>
          <w:p w:rsidR="0058523E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="0058523E"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8523E" w:rsidRPr="001A4C6F">
              <w:rPr>
                <w:rFonts w:ascii="GHEA Grapalat" w:hAnsi="GHEA Grapalat"/>
                <w:lang w:val="hy-AM"/>
              </w:rPr>
              <w:t>Երիտասարդական թաղամաս 1-ին փողոցի, Անկախության 7-րդ փողոցի,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8523E" w:rsidRPr="001A4C6F">
              <w:rPr>
                <w:rFonts w:ascii="GHEA Grapalat" w:hAnsi="GHEA Grapalat"/>
                <w:lang w:val="hy-AM"/>
              </w:rPr>
              <w:t xml:space="preserve">9-րդ փողոցի, </w:t>
            </w:r>
            <w:r w:rsidRPr="001A4C6F">
              <w:rPr>
                <w:rFonts w:ascii="GHEA Grapalat" w:hAnsi="GHEA Grapalat"/>
                <w:lang w:val="hy-AM"/>
              </w:rPr>
              <w:t>Ծաղկունք 3-րդ փողոցի</w:t>
            </w:r>
            <w:r w:rsidR="0058523E" w:rsidRPr="001A4C6F">
              <w:rPr>
                <w:rFonts w:ascii="GHEA Grapalat" w:hAnsi="GHEA Grapalat"/>
                <w:lang w:val="hy-AM"/>
              </w:rPr>
              <w:t>, Ծաղկունք 4-րդ փողոցի</w:t>
            </w:r>
            <w:r w:rsidRPr="001A4C6F">
              <w:rPr>
                <w:rFonts w:ascii="GHEA Grapalat" w:hAnsi="GHEA Grapalat"/>
                <w:lang w:val="hy-AM"/>
              </w:rPr>
              <w:t xml:space="preserve"> /մասնակի/</w:t>
            </w:r>
            <w:r w:rsidR="0058523E" w:rsidRPr="001A4C6F">
              <w:rPr>
                <w:rFonts w:ascii="GHEA Grapalat" w:hAnsi="GHEA Grapalat"/>
                <w:lang w:val="hy-AM"/>
              </w:rPr>
              <w:t>, Ծաղկունք 5-րդ փողոցի /մասնակի/,</w:t>
            </w:r>
          </w:p>
          <w:p w:rsidR="004774AC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Գեղաշեն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3-րդ փողոցի</w:t>
            </w:r>
            <w:r w:rsidRPr="001A4C6F">
              <w:rPr>
                <w:rFonts w:ascii="GHEA Grapalat" w:hAnsi="GHEA Grapalat"/>
                <w:lang w:val="hy-AM"/>
              </w:rPr>
              <w:t xml:space="preserve">, 3-րդ </w:t>
            </w:r>
            <w:r w:rsidR="00A7727B" w:rsidRPr="00A7727B">
              <w:rPr>
                <w:rFonts w:ascii="GHEA Grapalat" w:hAnsi="GHEA Grapalat"/>
                <w:lang w:val="hy-AM"/>
              </w:rPr>
              <w:t>թաղամաս</w:t>
            </w:r>
            <w:r w:rsidRPr="00A7727B">
              <w:rPr>
                <w:rFonts w:ascii="GHEA Grapalat" w:hAnsi="GHEA Grapalat"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 xml:space="preserve">2-րդ </w:t>
            </w:r>
            <w:r w:rsidR="004774AC" w:rsidRPr="001A4C6F">
              <w:rPr>
                <w:rFonts w:ascii="GHEA Grapalat" w:hAnsi="GHEA Grapalat"/>
                <w:lang w:val="hy-AM"/>
              </w:rPr>
              <w:t>փողոցի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  <w:r w:rsidR="004774AC" w:rsidRPr="001A4C6F">
              <w:rPr>
                <w:rFonts w:ascii="GHEA Grapalat" w:hAnsi="GHEA Grapalat"/>
                <w:lang w:val="hy-AM"/>
              </w:rPr>
              <w:t>3-րդ թաղամաս 3-րդ փողոցի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  <w:r w:rsidR="004774AC" w:rsidRPr="001A4C6F">
              <w:rPr>
                <w:rFonts w:ascii="GHEA Grapalat" w:hAnsi="GHEA Grapalat"/>
                <w:lang w:val="hy-AM"/>
              </w:rPr>
              <w:t>2-րդ թաղամաս 1-ին փողոց 2-րդ նրբ</w:t>
            </w:r>
            <w:r w:rsidRPr="001A4C6F">
              <w:rPr>
                <w:rFonts w:ascii="GHEA Grapalat" w:hAnsi="GHEA Grapalat"/>
                <w:lang w:val="hy-AM"/>
              </w:rPr>
              <w:t xml:space="preserve">., </w:t>
            </w:r>
            <w:r w:rsidR="004774AC" w:rsidRPr="001A4C6F">
              <w:rPr>
                <w:rFonts w:ascii="GHEA Grapalat" w:hAnsi="GHEA Grapalat"/>
                <w:lang w:val="hy-AM"/>
              </w:rPr>
              <w:t>2-րդ փողոց 2-րդ նրբ.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5</w:t>
            </w:r>
            <w:r w:rsidR="004774AC" w:rsidRPr="001A4C6F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-</w:t>
            </w:r>
            <w:r w:rsidR="004774AC" w:rsidRPr="001A4C6F">
              <w:rPr>
                <w:rFonts w:ascii="GHEA Grapalat" w:hAnsi="GHEA Grapalat"/>
                <w:lang w:val="hy-AM"/>
              </w:rPr>
              <w:t>րդ փողոց 1-ին նրբ.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12</w:t>
            </w:r>
            <w:r w:rsidRPr="001A4C6F">
              <w:rPr>
                <w:rFonts w:ascii="GHEA Grapalat" w:hAnsi="GHEA Grapalat"/>
                <w:lang w:val="hy-AM"/>
              </w:rPr>
              <w:t>-րդ փողոցի,</w:t>
            </w:r>
          </w:p>
          <w:p w:rsidR="004774AC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Նոր գերեզմանոց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F5862" w:rsidRPr="004774AC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Նորավան թաղամասի 2-րդ փողոց</w:t>
            </w:r>
            <w:r w:rsidR="004774AC"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8523E" w:rsidRPr="001A4C6F">
              <w:rPr>
                <w:rFonts w:ascii="GHEA Grapalat" w:eastAsia="Times New Roman" w:hAnsi="GHEA Grapalat"/>
                <w:b/>
                <w:lang w:val="hy-AM" w:eastAsia="ru-RU"/>
              </w:rPr>
              <w:t>փողոցային լուսավորության համակարգերի  կառուցում։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Կոտայք</w:t>
            </w:r>
            <w:proofErr w:type="spellEnd"/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համայնքները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C6F" w:rsidRPr="001A4C6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Աբովյան</w:t>
            </w:r>
            <w:proofErr w:type="spellEnd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</w:t>
            </w:r>
            <w:proofErr w:type="spellEnd"/>
          </w:p>
          <w:p w:rsidR="001A4C6F" w:rsidRPr="001A4C6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color w:val="000000"/>
                <w:lang w:val="hy-AM" w:eastAsia="ru-RU"/>
              </w:rPr>
            </w:pP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Մասնակից</w:t>
            </w:r>
            <w:proofErr w:type="spellEnd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բնակավայրեր</w:t>
            </w:r>
            <w:proofErr w:type="spellEnd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՝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>
              <w:rPr>
                <w:rFonts w:ascii="GHEA Grapalat" w:eastAsia="Times New Roman" w:hAnsi="GHEA Grapalat" w:cs="Times New Roman"/>
                <w:b/>
                <w:iCs/>
                <w:color w:val="000000"/>
                <w:lang w:val="hy-AM" w:eastAsia="ru-RU"/>
              </w:rPr>
              <w:t>Առինջ, Արամուս, Բալահովիտ, Գեղաշեն, Կաթնաղբյուր, Մայակովսկի, Պտղնի, Վերին Պտղնի</w:t>
            </w:r>
          </w:p>
        </w:tc>
      </w:tr>
      <w:tr w:rsidR="001A4C6F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A4C6F" w:rsidRPr="00405B7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հեռավորությունը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մայրաքաղաք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Երևանից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նաև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մարզկենտրոնից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Առինջ բնակավայրի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ռավորությունը մայրաքաղաքից – 12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կմ Հեռավորությունը մարզկենտրոնից – 45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Արամուս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21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Բալահովիտ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15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Հեռավորությունը մարզկենտրոնից – 40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Գեղաշեն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24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45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Կաթնաղբյուր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22 կմ  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40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Մայակովսկի բնակավայրի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 – 22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43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Պտղնի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12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41 կմ</w:t>
            </w:r>
          </w:p>
          <w:p w:rsidR="001A4C6F" w:rsidRDefault="001A4C6F" w:rsidP="001A4C6F">
            <w:pPr>
              <w:spacing w:after="0"/>
              <w:ind w:firstLine="15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Վերին Պտղնի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բնակավայրի հեռավորությունը մայրաքաղաքից– 12 կմ </w:t>
            </w:r>
          </w:p>
          <w:p w:rsidR="001A4C6F" w:rsidRPr="00776838" w:rsidRDefault="001A4C6F" w:rsidP="001A4C6F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 կմ</w:t>
            </w:r>
          </w:p>
        </w:tc>
      </w:tr>
      <w:tr w:rsidR="001A4C6F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A4C6F" w:rsidRPr="00405B7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C6F" w:rsidRPr="00776838" w:rsidRDefault="001A4C6F" w:rsidP="001A4C6F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89</w:t>
            </w:r>
            <w:r w:rsidRPr="00776838">
              <w:rPr>
                <w:rFonts w:ascii="Calibri" w:hAnsi="Calibri" w:cs="Calibri"/>
                <w:spacing w:val="-6"/>
                <w:lang w:val="hy-AM"/>
              </w:rPr>
              <w:t> 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145</w:t>
            </w:r>
            <w:r w:rsidRPr="00776838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</w:p>
          <w:p w:rsidR="001A4C6F" w:rsidRPr="00776838" w:rsidRDefault="001A4C6F" w:rsidP="001A4C6F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Ծ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՝ </w:t>
            </w:r>
            <w:r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25 433</w:t>
            </w:r>
            <w:r w:rsidRPr="00F47DA2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405B7F" w:rsidRDefault="00CF5862" w:rsidP="001A4C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1A4C6F" w:rsidRDefault="001A4C6F" w:rsidP="001A4C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1A4C6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1A4C6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E439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գլխավոր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հատակագծի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առկայություն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1A4C6F" w:rsidP="00E4398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Այո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776838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776838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ենթակառուցվածքների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վերաբերյալ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հակիրճ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տեղեկատվություն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405B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</w:t>
            </w:r>
            <w:proofErr w:type="spellEnd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նշելով</w:t>
            </w:r>
            <w:proofErr w:type="spellEnd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՝</w:t>
            </w: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ջրահեռացման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տևողությունը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գազամատակարարման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համայնքում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գյուղատնտեսական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հողերից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հողատարածքների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առկայությամբ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ընդհանուր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մեջ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նշել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էներգախնայող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ԼԵԴ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լուսավորություն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է,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թե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ոչ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Default="00CF5862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after="0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Pr="00776838" w:rsidRDefault="00E43986" w:rsidP="00E43986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ներդրումների կարիք։  Աբովյան համայնքում ջրամատակարարումը իրականացվում է 17 ժամ տևողությամբ։</w:t>
            </w:r>
          </w:p>
          <w:p w:rsidR="00E43986" w:rsidRPr="00776838" w:rsidRDefault="00E43986" w:rsidP="00E43986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Համայնքի կազմում  ընդգրկված բնակավայրերից Գեղաշենում և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E43986" w:rsidRPr="00776838" w:rsidRDefault="00E43986" w:rsidP="00E43986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E43986" w:rsidRPr="00776838" w:rsidRDefault="00E43986" w:rsidP="00E43986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43986" w:rsidRPr="00776838" w:rsidRDefault="00E43986" w:rsidP="00E43986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CC1CDC" w:rsidRDefault="00CC1CDC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43986" w:rsidRP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986" w:rsidRDefault="00E43986" w:rsidP="00E43986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/>
                <w:b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Աբովյան համայնքի 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1A4C6F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Ա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 Ա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Ա թաղամաս 6-րդ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3-րդ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206A9">
              <w:rPr>
                <w:rFonts w:ascii="GHEA Grapalat" w:hAnsi="GHEA Grapalat"/>
                <w:lang w:val="hy-AM"/>
              </w:rPr>
              <w:t>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7-րդ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206A9">
              <w:rPr>
                <w:rFonts w:ascii="GHEA Grapalat" w:hAnsi="GHEA Grapalat"/>
                <w:lang w:val="hy-AM"/>
              </w:rPr>
              <w:t>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Երիտասարդական թաղամաս 1-ին փողոցի</w:t>
            </w:r>
            <w:r w:rsidR="001206A9">
              <w:rPr>
                <w:rFonts w:ascii="GHEA Grapalat" w:hAnsi="GHEA Grapalat"/>
                <w:lang w:val="hy-AM"/>
              </w:rPr>
              <w:t xml:space="preserve"> 720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Անկախության 7-րդ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48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9-րդ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3</w:t>
            </w:r>
            <w:r w:rsidR="001206A9"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Ծաղկունք 3-րդ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705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4-րդ փողոցի /մասնակի/</w:t>
            </w:r>
            <w:r w:rsidR="001206A9">
              <w:rPr>
                <w:rFonts w:ascii="GHEA Grapalat" w:hAnsi="GHEA Grapalat"/>
                <w:lang w:val="hy-AM"/>
              </w:rPr>
              <w:t xml:space="preserve"> 180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5-րդ փողոցի /մասնակի/</w:t>
            </w:r>
            <w:r w:rsidR="001206A9">
              <w:rPr>
                <w:rFonts w:ascii="GHEA Grapalat" w:hAnsi="GHEA Grapalat"/>
                <w:lang w:val="hy-AM"/>
              </w:rPr>
              <w:t xml:space="preserve"> 2</w:t>
            </w:r>
            <w:r w:rsidR="001206A9"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Գեղաշեն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3-րդ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14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փողոց 2-րդ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48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թաղամաս 3-րդ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47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թաղամաս 1-ին փողոց 2-րդ նրբ.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</w:t>
            </w:r>
            <w:r w:rsidR="001206A9">
              <w:rPr>
                <w:rFonts w:ascii="GHEA Grapalat" w:hAnsi="GHEA Grapalat"/>
                <w:lang w:val="hy-AM"/>
              </w:rPr>
              <w:t>17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փողոց 2-րդ նրբ.</w:t>
            </w:r>
            <w:r w:rsidR="001206A9">
              <w:rPr>
                <w:rFonts w:ascii="GHEA Grapalat" w:hAnsi="GHEA Grapalat"/>
                <w:lang w:val="hy-AM"/>
              </w:rPr>
              <w:t xml:space="preserve"> 28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5</w:t>
            </w:r>
            <w:r w:rsidRPr="001A4C6F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-</w:t>
            </w:r>
            <w:r w:rsidRPr="001A4C6F">
              <w:rPr>
                <w:rFonts w:ascii="GHEA Grapalat" w:hAnsi="GHEA Grapalat"/>
                <w:lang w:val="hy-AM"/>
              </w:rPr>
              <w:t>րդ փողոց 1-ին նրբ.</w:t>
            </w:r>
            <w:r w:rsidR="001206A9">
              <w:rPr>
                <w:rFonts w:ascii="GHEA Grapalat" w:hAnsi="GHEA Grapalat"/>
                <w:lang w:val="hy-AM"/>
              </w:rPr>
              <w:t xml:space="preserve"> 45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12-րդ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10</w:t>
            </w:r>
            <w:r w:rsidR="001206A9" w:rsidRPr="00E43986">
              <w:rPr>
                <w:rFonts w:ascii="GHEA Grapalat" w:hAnsi="GHEA Grapalat"/>
                <w:lang w:val="hy-AM"/>
              </w:rPr>
              <w:t>00</w:t>
            </w:r>
            <w:r w:rsidR="001206A9">
              <w:rPr>
                <w:rFonts w:ascii="GHEA Grapalat" w:hAnsi="GHEA Grapalat"/>
                <w:lang w:val="hy-AM"/>
              </w:rPr>
              <w:t xml:space="preserve"> </w:t>
            </w:r>
            <w:r w:rsidR="001206A9" w:rsidRPr="00E43986">
              <w:rPr>
                <w:rFonts w:ascii="GHEA Grapalat" w:hAnsi="GHEA Grapalat"/>
                <w:lang w:val="hy-AM"/>
              </w:rPr>
              <w:t>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Default="00E43986" w:rsidP="001206A9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206A9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06A9">
              <w:rPr>
                <w:rFonts w:ascii="GHEA Grapalat" w:hAnsi="GHEA Grapalat"/>
                <w:lang w:val="hy-AM"/>
              </w:rPr>
              <w:t>Նոր գերեզմանոց</w:t>
            </w:r>
            <w:r w:rsidR="001206A9">
              <w:rPr>
                <w:rFonts w:ascii="GHEA Grapalat" w:hAnsi="GHEA Grapalat"/>
                <w:lang w:val="hy-AM"/>
              </w:rPr>
              <w:t xml:space="preserve"> 35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206A9">
              <w:rPr>
                <w:rFonts w:ascii="GHEA Grapalat" w:hAnsi="GHEA Grapalat"/>
                <w:lang w:val="hy-AM"/>
              </w:rPr>
              <w:t>,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E43986" w:rsidRPr="001206A9" w:rsidRDefault="00E43986" w:rsidP="001206A9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22AE">
              <w:rPr>
                <w:rFonts w:ascii="GHEA Grapalat" w:hAnsi="GHEA Grapalat"/>
                <w:lang w:val="hy-AM"/>
              </w:rPr>
              <w:t>Նորավան թաղամասի 2-րդ փողոց</w:t>
            </w:r>
            <w:r w:rsidR="007222AE"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="007222AE" w:rsidRPr="007222AE">
              <w:rPr>
                <w:rFonts w:ascii="GHEA Grapalat" w:eastAsia="Times New Roman" w:hAnsi="GHEA Grapalat"/>
                <w:lang w:val="hy-AM" w:eastAsia="ru-RU"/>
              </w:rPr>
              <w:t xml:space="preserve">2400 </w:t>
            </w:r>
            <w:r w:rsidRPr="007222AE">
              <w:rPr>
                <w:rFonts w:ascii="GHEA Grapalat" w:eastAsia="Times New Roman" w:hAnsi="GHEA Grapalat"/>
                <w:lang w:val="hy-AM" w:eastAsia="ru-RU"/>
              </w:rPr>
              <w:t>գծամետր</w:t>
            </w:r>
            <w:r w:rsidRPr="003F1CFD">
              <w:rPr>
                <w:rFonts w:ascii="GHEA Grapalat" w:eastAsia="Times New Roman" w:hAnsi="GHEA Grapalat"/>
                <w:b/>
                <w:lang w:val="hy-AM" w:eastAsia="ru-RU"/>
              </w:rPr>
              <w:t xml:space="preserve"> փողոցային լուսավորության համակարգերի  կառուցում։</w:t>
            </w:r>
          </w:p>
          <w:p w:rsidR="00CF5862" w:rsidRPr="008B4E97" w:rsidRDefault="00E43986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Լուսավորության համակարգի անցկացումը կնպաստի համայնքում բնակչության անվտանգ տեղաշարժմանը գիշերային ժամերին, մարդկանց կենսակերպի բարելավմանը, կխթանի հանցագործությունների թվի նվազմանը։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8B4E97" w:rsidRDefault="001206A9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206A9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Ծրագրային հայտը բխում է «Տեղական ինքնակառավարման մասին»  օրենքի 12-րդ հոդվածի դրույթներից և այն կընդգրկվի համայնքի հնգամյա զարգացման ծրագրի ռազմավարության մեջ: Ծրագրի իրականացման նպատակն է Աբովյան բնակավայրում ունենալ լուսավորված  ներհամայնքային ցանց, համայնքը դարձնել ավելի գրավիչ  ներդրողների համար, ապահովել համայնքի շուրջ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25 433</w:t>
            </w:r>
            <w:r w:rsidRPr="001206A9">
              <w:rPr>
                <w:rFonts w:ascii="GHEA Grapalat" w:eastAsia="Times New Roman" w:hAnsi="GHEA Grapalat"/>
                <w:iCs/>
                <w:lang w:val="hy-AM" w:eastAsia="ru-RU"/>
              </w:rPr>
              <w:t xml:space="preserve">  մարդու   կենսամակարդակի  բարձրացումը: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6A9" w:rsidRPr="008B4E97" w:rsidRDefault="00BB2E56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Կազմել նախագծա</w:t>
            </w:r>
            <w:r w:rsidR="001206A9" w:rsidRPr="008B4E9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նախահաշվային փաստաթղթեր:</w:t>
            </w:r>
          </w:p>
          <w:p w:rsidR="001B3191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Աբովյան համայնքի </w:t>
            </w:r>
          </w:p>
          <w:p w:rsidR="001206A9" w:rsidRPr="001B3191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A4C6F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1A4C6F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Ա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 Ա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Ա թաղամաս 6-րդ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3-րդ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7-րդ փողոցի</w:t>
            </w:r>
            <w:r>
              <w:rPr>
                <w:rFonts w:ascii="GHEA Grapalat" w:hAnsi="GHEA Grapalat"/>
                <w:lang w:val="hy-AM"/>
              </w:rPr>
              <w:t xml:space="preserve"> 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Երիտասարդական թաղամաս 1-ին փողոցի</w:t>
            </w:r>
            <w:r>
              <w:rPr>
                <w:rFonts w:ascii="GHEA Grapalat" w:hAnsi="GHEA Grapalat"/>
                <w:lang w:val="hy-AM"/>
              </w:rPr>
              <w:t xml:space="preserve"> 720</w:t>
            </w:r>
            <w:r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Անկախության 7-րդ փողոցի</w:t>
            </w:r>
            <w:r>
              <w:rPr>
                <w:rFonts w:ascii="GHEA Grapalat" w:hAnsi="GHEA Grapalat"/>
                <w:lang w:val="hy-AM"/>
              </w:rPr>
              <w:t xml:space="preserve"> 48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9-րդ փողոցի</w:t>
            </w:r>
            <w:r>
              <w:rPr>
                <w:rFonts w:ascii="GHEA Grapalat" w:hAnsi="GHEA Grapalat"/>
                <w:lang w:val="hy-AM"/>
              </w:rPr>
              <w:t xml:space="preserve"> 3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Ծաղկունք 3-րդ փողոցի</w:t>
            </w:r>
            <w:r>
              <w:rPr>
                <w:rFonts w:ascii="GHEA Grapalat" w:hAnsi="GHEA Grapalat"/>
                <w:lang w:val="hy-AM"/>
              </w:rPr>
              <w:t xml:space="preserve"> 705</w:t>
            </w:r>
            <w:r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4-րդ փողոցի /մասնակի/</w:t>
            </w:r>
            <w:r>
              <w:rPr>
                <w:rFonts w:ascii="GHEA Grapalat" w:hAnsi="GHEA Grapalat"/>
                <w:lang w:val="hy-AM"/>
              </w:rPr>
              <w:t xml:space="preserve"> 180</w:t>
            </w:r>
            <w:r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5-րդ փողոցի /մասնակի/</w:t>
            </w:r>
            <w:r>
              <w:rPr>
                <w:rFonts w:ascii="GHEA Grapalat" w:hAnsi="GHEA Grapalat"/>
                <w:lang w:val="hy-AM"/>
              </w:rPr>
              <w:t xml:space="preserve"> 2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Գեղաշեն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3-րդ փողոցի</w:t>
            </w:r>
            <w:r>
              <w:rPr>
                <w:rFonts w:ascii="GHEA Grapalat" w:hAnsi="GHEA Grapalat"/>
                <w:lang w:val="hy-AM"/>
              </w:rPr>
              <w:t xml:space="preserve"> 14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 xml:space="preserve">, 3-րդ </w:t>
            </w:r>
            <w:r w:rsidR="00A7727B">
              <w:rPr>
                <w:rFonts w:ascii="GHEA Grapalat" w:hAnsi="GHEA Grapalat"/>
                <w:lang w:val="hy-AM"/>
              </w:rPr>
              <w:t>թաղամաս</w:t>
            </w:r>
            <w:r w:rsidRPr="001A4C6F">
              <w:rPr>
                <w:rFonts w:ascii="GHEA Grapalat" w:hAnsi="GHEA Grapalat"/>
                <w:lang w:val="hy-AM"/>
              </w:rPr>
              <w:t xml:space="preserve"> 2-րդ փողոցի</w:t>
            </w:r>
            <w:r>
              <w:rPr>
                <w:rFonts w:ascii="GHEA Grapalat" w:hAnsi="GHEA Grapalat"/>
                <w:lang w:val="hy-AM"/>
              </w:rPr>
              <w:t xml:space="preserve"> 48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թաղամաս 3-րդ փողոցի</w:t>
            </w:r>
            <w:r>
              <w:rPr>
                <w:rFonts w:ascii="GHEA Grapalat" w:hAnsi="GHEA Grapalat"/>
                <w:lang w:val="hy-AM"/>
              </w:rPr>
              <w:t xml:space="preserve"> 47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թաղամաս 1-ին փողոց 2-րդ նրբ.</w:t>
            </w:r>
            <w:r w:rsidRPr="00E4398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փողոց 2-րդ նրբ.</w:t>
            </w:r>
            <w:r>
              <w:rPr>
                <w:rFonts w:ascii="GHEA Grapalat" w:hAnsi="GHEA Grapalat"/>
                <w:lang w:val="hy-AM"/>
              </w:rPr>
              <w:t xml:space="preserve"> 28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5</w:t>
            </w:r>
            <w:r w:rsidRPr="001A4C6F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-</w:t>
            </w:r>
            <w:r w:rsidRPr="001A4C6F">
              <w:rPr>
                <w:rFonts w:ascii="GHEA Grapalat" w:hAnsi="GHEA Grapalat"/>
                <w:lang w:val="hy-AM"/>
              </w:rPr>
              <w:t>րդ փողոց 1-ին նրբ.</w:t>
            </w:r>
            <w:r>
              <w:rPr>
                <w:rFonts w:ascii="GHEA Grapalat" w:hAnsi="GHEA Grapalat"/>
                <w:lang w:val="hy-AM"/>
              </w:rPr>
              <w:t xml:space="preserve"> 45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12-րդ փողոցի</w:t>
            </w:r>
            <w:r>
              <w:rPr>
                <w:rFonts w:ascii="GHEA Grapalat" w:hAnsi="GHEA Grapalat"/>
                <w:lang w:val="hy-AM"/>
              </w:rPr>
              <w:t xml:space="preserve"> 10</w:t>
            </w:r>
            <w:r w:rsidRPr="00E43986">
              <w:rPr>
                <w:rFonts w:ascii="GHEA Grapalat" w:hAnsi="GHEA Grapalat"/>
                <w:lang w:val="hy-AM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206A9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06A9">
              <w:rPr>
                <w:rFonts w:ascii="GHEA Grapalat" w:hAnsi="GHEA Grapalat"/>
                <w:lang w:val="hy-AM"/>
              </w:rPr>
              <w:t>Նոր գերեզմանոց</w:t>
            </w:r>
            <w:r>
              <w:rPr>
                <w:rFonts w:ascii="GHEA Grapalat" w:hAnsi="GHEA Grapalat"/>
                <w:lang w:val="hy-AM"/>
              </w:rPr>
              <w:t xml:space="preserve"> 35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206A9">
              <w:rPr>
                <w:rFonts w:ascii="GHEA Grapalat" w:hAnsi="GHEA Grapalat"/>
                <w:lang w:val="hy-AM"/>
              </w:rPr>
              <w:t>,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1206A9" w:rsidRPr="001206A9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7222AE" w:rsidRPr="007222AE">
              <w:rPr>
                <w:rFonts w:ascii="Sylfaen" w:hAnsi="Sylfaen" w:cs="Sylfaen"/>
                <w:lang w:val="hy-AM"/>
              </w:rPr>
              <w:t xml:space="preserve"> </w:t>
            </w:r>
            <w:r w:rsidR="007222AE" w:rsidRPr="007222AE">
              <w:rPr>
                <w:rFonts w:ascii="GHEA Grapalat" w:hAnsi="GHEA Grapalat"/>
                <w:lang w:val="hy-AM"/>
              </w:rPr>
              <w:t>Նորավան թաղամասի 2-րդ փողոց 2400 գծամետր</w:t>
            </w:r>
            <w:r w:rsidR="001B3191"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3F1CFD">
              <w:rPr>
                <w:rFonts w:ascii="GHEA Grapalat" w:eastAsia="Times New Roman" w:hAnsi="GHEA Grapalat"/>
                <w:b/>
                <w:lang w:val="hy-AM" w:eastAsia="ru-RU"/>
              </w:rPr>
              <w:t>փողոցային լուսավորության համակարգերի  կառուցում։</w:t>
            </w:r>
          </w:p>
          <w:p w:rsidR="001206A9" w:rsidRPr="001206A9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206A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Տեղադրվելու է </w:t>
            </w:r>
            <w:r w:rsid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320</w:t>
            </w:r>
            <w:r w:rsidRPr="001206A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հատ նոր հենասյուներ՝ իր լուսատուներով, </w:t>
            </w:r>
            <w:r w:rsid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320</w:t>
            </w:r>
            <w:r w:rsidRPr="001206A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 հատ լուսատուներ՝ գոյություն ունեցող հենասյուների վրա։  </w:t>
            </w:r>
          </w:p>
          <w:p w:rsidR="00CF5862" w:rsidRPr="008B4E97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Կազմակերպել նախագծանախահաշվային փաստաթղթերի, որակի  տեխնիկական հսկողության ծառայության և շինարարական աշխատանքների ձեռք բերման մրցույթների կազմակերպում,   մրցույթում հաղթող ճանաչված  կազմակերպությունների  հետ պայմանագրերի կնքում,  կատարվող աշխատանքների և մատուցվող ծառայությունների վերահսկողության իրականացում: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իրականացման արդյունքում համայնքին սեփականության իրավունքով պատկանող հիմնական միջոցների </w:t>
            </w: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6A9" w:rsidRDefault="001206A9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lastRenderedPageBreak/>
              <w:t xml:space="preserve">Ներհամայնքային լուսավորության ցանցի անցկացման  արդյունքում կունենանք  լուսավոր փողոցներ, ինչը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</w:t>
            </w: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lastRenderedPageBreak/>
              <w:t>լուսավորության համակարգի արժեքը կավելանա ծրագրի արժեքի չափով։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</w:p>
          <w:p w:rsidR="00CF5862" w:rsidRPr="00A63AC1" w:rsidRDefault="001206A9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63AC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</w:t>
            </w:r>
            <w:r w:rsidR="00CF5862" w:rsidRPr="00A63AC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րագրով նախատեսվող ծախսերը կապիտալ բնույթի են: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63AC1" w:rsidRDefault="00A63AC1" w:rsidP="00A63AC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Համայնքի  փողոցների լուսավորության արդյունքում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25 433</w:t>
            </w: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բնակիչներ, որը կազմում է համայնքի բնակչության  28,5 %-ը, կունենան լուսավորված ճանապարհներ, կբարձրանա բնակչության տեղաշարժի հարմարավետության  մակարդակը: Ծրագրով նախատեսված ծախսերը հանդիսանում են կապիտալ բնույթի։ Լուսավորվող ճանապարհները  գլխավոր են, որոնք կից են դպրոցներին և բնակեցված թաղամասներին։</w:t>
            </w:r>
          </w:p>
        </w:tc>
      </w:tr>
      <w:tr w:rsidR="00CF5862" w:rsidRPr="00336664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7222AE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222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B2E56" w:rsidRDefault="00A63AC1" w:rsidP="00BB2E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Ծրագրի</w:t>
            </w:r>
            <w:r w:rsidR="00BB2E56"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իրականացման ընթացքում մոտավոր </w:t>
            </w:r>
            <w:r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կստեղծվի </w:t>
            </w:r>
            <w:r w:rsid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40 </w:t>
            </w:r>
            <w:r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ժամանակավոր  աշխատատեղեր։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1B319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B319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Նախորդ</w:t>
            </w:r>
            <w:proofErr w:type="spellEnd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տարվա</w:t>
            </w:r>
            <w:proofErr w:type="spellEnd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բյուջեն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` </w:t>
            </w:r>
            <w:r w:rsidR="00A63AC1"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6698645,0</w:t>
            </w:r>
            <w:r w:rsidR="00A63AC1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</w:t>
            </w:r>
          </w:p>
          <w:tbl>
            <w:tblPr>
              <w:tblW w:w="71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186"/>
              <w:gridCol w:w="1517"/>
              <w:gridCol w:w="1158"/>
              <w:gridCol w:w="343"/>
            </w:tblGrid>
            <w:tr w:rsidR="00CF5862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ind w:right="-192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1272667.0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A63AC1" w:rsidRPr="00405B7F" w:rsidTr="00D96C44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405B7F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  <w:tc>
                <w:tcPr>
                  <w:tcW w:w="343" w:type="dxa"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uppressOverlap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ab/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776838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77683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77683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776838" w:rsidRDefault="00A63AC1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77683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77683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 հանգստի գոտիների կառուցում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405B7F" w:rsidRDefault="00CF5862" w:rsidP="001A4C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405B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405B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B60CE8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60CE8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B60CE8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1275"/>
            </w:tblGrid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6C44" w:rsidRPr="000A06A2" w:rsidRDefault="00D96C44" w:rsidP="0033666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D96C44" w:rsidRPr="00B60CE8" w:rsidRDefault="00D96C44" w:rsidP="00D96C44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A63AC1" w:rsidRDefault="00D96C44" w:rsidP="00D96C44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D96C44" w:rsidP="00D96C4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C44" w:rsidRPr="00A63AC1" w:rsidRDefault="00D96C44" w:rsidP="00D96C44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D96C44" w:rsidP="00D96C4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C44" w:rsidRPr="00A63AC1" w:rsidRDefault="00D96C44" w:rsidP="00D96C44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70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1417"/>
              <w:gridCol w:w="1597"/>
            </w:tblGrid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ind w:right="503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ind w:hanging="15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rHeight w:val="780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lastRenderedPageBreak/>
                    <w:t>3811492.0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304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531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33666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306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</w:tbl>
          <w:p w:rsidR="00D96C44" w:rsidRPr="00D05C00" w:rsidRDefault="00D96C44" w:rsidP="00D96C44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6C44" w:rsidRPr="00A63AC1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Համայնքի ծրագրի իրականացման տարվա միջնաժամկետ ծախսերի ծրագրով նախատեսված բյուջետային մուտքերի (ներառյալ՝ ֆինանսական 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D05C00" w:rsidRDefault="00D96C44" w:rsidP="00D96C4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թվում՝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շինարարական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օբյեկտների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նախագծման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</w:t>
            </w:r>
            <w:r w:rsidR="00D96C44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766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.0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նախագծանախահաշվային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փաստաթղթերի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պետական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փորձաքննության</w:t>
            </w:r>
            <w:proofErr w:type="spellEnd"/>
            <w:r w:rsidRPr="00A63AC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</w:t>
            </w:r>
            <w:proofErr w:type="spellEnd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՝ </w:t>
            </w:r>
            <w:r w:rsidR="00D96C44" w:rsidRPr="00D96C4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176.0</w:t>
            </w:r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տեխնիկական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հսկողության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ծառայությունների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1 766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հեղինակային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հսկողության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ծառայությունների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30.0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հետազոտության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300.</w:t>
            </w:r>
            <w:r w:rsidR="00D96C44" w:rsidRPr="001B319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63AC1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92</w:t>
            </w:r>
            <w:r w:rsidR="00A63AC1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838</w:t>
            </w:r>
            <w:r w:rsidR="00A63AC1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.0</w:t>
            </w:r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(100%)</w:t>
            </w:r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D96C44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51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060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9</w:t>
            </w:r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proofErr w:type="spellStart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(55</w:t>
            </w:r>
            <w:r w:rsidR="00CF5862" w:rsidRPr="00405B7F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63AC1" w:rsidRDefault="00A63AC1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Ծրագրի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իրականացման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D96C44" w:rsidRPr="00160436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7 ամիս՝ նոյեմբեր 2024թ.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6154B5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օգոստոս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A63AC1" w:rsidRPr="00D05C00" w:rsidRDefault="00CF5862" w:rsidP="00A63AC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  <w:r w:rsidR="00A63AC1">
        <w:rPr>
          <w:rFonts w:ascii="GHEA Grapalat" w:eastAsia="Times New Roman" w:hAnsi="GHEA Grapalat" w:cs="Times New Roman"/>
          <w:color w:val="000000"/>
          <w:lang w:eastAsia="ru-RU"/>
        </w:rPr>
        <w:tab/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</w:t>
      </w:r>
      <w:proofErr w:type="spellEnd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տեղեկություններ</w:t>
      </w:r>
      <w:proofErr w:type="spellEnd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ծրագրի</w:t>
      </w:r>
      <w:proofErr w:type="spellEnd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մասին</w:t>
      </w:r>
      <w:proofErr w:type="spellEnd"/>
      <w:r w:rsidR="00A63AC1" w:rsidRPr="00D05C00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(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նշել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այն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լրացուցիչ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հանգամանքները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ցույց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տալ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ծրագրի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կարևորությունը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ակնկալվող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արդյունքների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ազդեցությունը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տարածաշրջանի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վրա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հանգամանքներ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հաշվի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առնվել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ծրագիրը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գնահատելու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ընթացքում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):</w:t>
      </w:r>
    </w:p>
    <w:p w:rsidR="00A63AC1" w:rsidRPr="00D05C00" w:rsidRDefault="00A63AC1" w:rsidP="00A63AC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63AC1" w:rsidRPr="00AD1E27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A63AC1" w:rsidRPr="00AD1E27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Հեռախոսահամարը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 </w:t>
      </w:r>
      <w:r w:rsidR="00D96C44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</w:p>
    <w:p w:rsidR="00A63AC1" w:rsidRPr="00AD1E27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:rsidR="00A63AC1" w:rsidRPr="003D7712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A63AC1" w:rsidRDefault="00A63AC1" w:rsidP="00A63AC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A63AC1" w:rsidRDefault="00A63AC1" w:rsidP="00A63AC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63AC1" w:rsidRPr="003D7712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A63AC1" w:rsidRPr="00E97705" w:rsidTr="00E91F0B">
        <w:trPr>
          <w:tblCellSpacing w:w="7" w:type="dxa"/>
          <w:jc w:val="center"/>
        </w:trPr>
        <w:tc>
          <w:tcPr>
            <w:tcW w:w="9180" w:type="dxa"/>
            <w:hideMark/>
          </w:tcPr>
          <w:p w:rsidR="00A63AC1" w:rsidRPr="00E97705" w:rsidRDefault="00A63AC1" w:rsidP="00E91F0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A63AC1" w:rsidRPr="00E97705" w:rsidRDefault="00A63AC1" w:rsidP="00E91F0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A63AC1" w:rsidRPr="00E97705" w:rsidRDefault="00A63AC1" w:rsidP="00E91F0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405B7F" w:rsidRDefault="00170BB5" w:rsidP="00CF5862">
      <w:pPr>
        <w:rPr>
          <w:rFonts w:ascii="GHEA Grapalat" w:hAnsi="GHEA Grapalat"/>
        </w:rPr>
      </w:pPr>
    </w:p>
    <w:sectPr w:rsidR="00170BB5" w:rsidRPr="00405B7F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6A9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4C6F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3191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992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36664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5B7F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18F"/>
    <w:rsid w:val="00475940"/>
    <w:rsid w:val="00477042"/>
    <w:rsid w:val="004774AC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23E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4B5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2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4E97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0B7D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3AC1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7727B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2E56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1CDC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7BD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5FB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44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AE4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3986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8F10-9112-439C-8870-E9DE8F8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14</cp:revision>
  <cp:lastPrinted>2023-08-23T07:33:00Z</cp:lastPrinted>
  <dcterms:created xsi:type="dcterms:W3CDTF">2023-04-26T12:15:00Z</dcterms:created>
  <dcterms:modified xsi:type="dcterms:W3CDTF">2023-08-23T07:37:00Z</dcterms:modified>
</cp:coreProperties>
</file>