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61" w:rsidRPr="009B53D7" w:rsidRDefault="00215B61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9B53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45DB8" w:rsidRPr="009B53D7" w:rsidRDefault="00045DB8" w:rsidP="009B53D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201</w:t>
      </w:r>
      <w:r w:rsidR="007C1EB3" w:rsidRPr="009B53D7">
        <w:rPr>
          <w:rFonts w:ascii="GHEA Grapalat" w:hAnsi="GHEA Grapalat"/>
          <w:b/>
          <w:sz w:val="24"/>
          <w:szCs w:val="24"/>
          <w:lang w:val="hy-AM"/>
        </w:rPr>
        <w:t>9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 ԵՌԱՄՍՅԱԿԻ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Pr="009B53D7">
        <w:rPr>
          <w:rFonts w:ascii="GHEA Grapalat" w:hAnsi="GHEA Grapalat"/>
          <w:b/>
          <w:sz w:val="24"/>
          <w:szCs w:val="24"/>
          <w:lang w:val="hy-AM"/>
        </w:rPr>
        <w:br/>
      </w:r>
    </w:p>
    <w:p w:rsidR="00045DB8" w:rsidRPr="009B53D7" w:rsidRDefault="009B53D7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B53D7">
        <w:rPr>
          <w:rFonts w:ascii="Courier New" w:hAnsi="Courier New" w:cs="Courier New"/>
          <w:sz w:val="24"/>
          <w:szCs w:val="24"/>
          <w:lang w:val="hy-AM"/>
        </w:rPr>
        <w:t> 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Աբովյան համայնքի 2019 թվականի բյուջեի առաջին եռամսյակի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     Աբովյան համայնքի 2019 թվականի բյուջեի 1-ին եռամսյակում  վարչական բյուջեի եկամտային  մասով նախատեսված  349 310.4 հազար  դրամի   դիմաց  փաստացի  եկամուտը  կազմել  է  375 864.8  հազար դրամ, տոկոսային  արտահայտությամբ   կատարվել է  107.6  %-ով,  իսկ տարեկան ծրագրի նկատմամբ՝  24.7  %-ով։ Հաշվետու ժամանակաշրջանում գույքային հարկեր անշարժ գույքի  գծով նախատեսված 19 000.0  հազար դրամի դիմաց փաստացի եկամուտը  կազմել է 23 871.9  հազար դրամ, տոկոսային արտահայտությամբ այն կատարվել է 125.6 %-ով, գերակատարվելով՝ 4 870.9 հազար դրամով, իսկ տարեկան պլանի նկատմամբ  կատարվել է 27.2 %-ով: Գույքային հարկեր այլ  գույքից (փոխադրամիջոցների) գծով նախատեսված 43 500.0  հազար դրամի դիմաց փաստացի եկամուտը կազմել է 54 555.9 հազար դրամ, տոկոսային արտահայտությամբ  կատարվել է 125.4 %-ով, գերակատարվելով  11 055.9  հազար դրամով, իսկ տարեկան պլանի նկատմամբ  կատարվել է 25.5 %-ով:  Տեղական տուրքերի գծով նախատեսված 7 411.0 հազար դրամի դիմաց փաստացի եկամուտը  կազմել է 14 450.5 հազար դրամ, տոկոսային արտահայտությամբ  կատարվել է  194.9 %-ով,  տարեկան պլանի նկատմամբ  կատարվելով  51.6 %-ով:Պետական տուրքերի գծով նախատեսված 6 600.0 հազար դրամի դիմաց փաստացի եկամուտը  կազմել է  7 915.4  հազար դրամ, տոկոսային արտահայտությամբ կատարվել է  119.9  %-ով,  տարեկան պլանի նկատմամբ  կատարվելով 29.9 %-ով: Պետական բյուջեից ֆինանսական համահարթեցման սկզբունքով տրամադրվող դոտացիայի մասով  նախատեսված 182 781.3  հազար  դրամը հատկացվել է։ Պետական բյուջեից տրամադրվող նպատակային հատկացման` սուբվենցիայի մասով  նախատեսված 2 040.0 հազար դրամի դիմաց հատկացվել  է 1 364.0  հազար դրամ:</w:t>
      </w:r>
      <w:r w:rsidRPr="009B53D7">
        <w:rPr>
          <w:rFonts w:ascii="GHEA Grapalat" w:hAnsi="GHEA Grapalat"/>
          <w:sz w:val="24"/>
          <w:szCs w:val="24"/>
          <w:lang w:val="hy-AM"/>
        </w:rPr>
        <w:tab/>
        <w:t>Գույքի վարձակալությունից եկամուտների գծով նախատեսված 4 400.0 հազար դրամի դիմաց փաստացի եկամուտը կազմել է 4 531.3 հազար դրամ, տոկոսային արտահայտությամբ  կատարվել է  102.9 %-ով,  իսկ տարեկան պլանի նկատմամբ  կատարվել է 20.1 %-ով։ Պետության կողմից տեղական ինքնակառավարման մարմիններին պատվիրակված լիազորությունների իրականացման ծախսերի ֆինանսավորման համար գումար չի հատկացվել: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</w:r>
      <w:r w:rsidRPr="009B53D7">
        <w:rPr>
          <w:rFonts w:ascii="GHEA Grapalat" w:hAnsi="GHEA Grapalat"/>
          <w:sz w:val="24"/>
          <w:szCs w:val="24"/>
          <w:lang w:val="hy-AM"/>
        </w:rPr>
        <w:lastRenderedPageBreak/>
        <w:t xml:space="preserve">   Վարչական գանձումներից ստացվող միջոցներից նախատեսված 68 358.4 հազար դրամի  դիմաց  փաստացի եկամուտը կազմել է 69 335.4 հազար դրամ, տոկոսային արտահայտությամբ այն կատարվել է  101.4 %-ով,  տարեկան պլանի նկատմամբ  կատարվել է 21.1 %-ով:Տույժերից և տուգանքներից  նախատեսված 120.0 հազար դրամ եկամտի դիմաց  փաստացի եկամուտը կազմել է 110.0 հազար դրամ,  տարեկան պլանի նկատմամբ  կատարվելով  22.0  %-ով:</w:t>
      </w:r>
      <w:r w:rsidRPr="009B53D7">
        <w:rPr>
          <w:rFonts w:ascii="GHEA Grapalat" w:hAnsi="GHEA Grapalat"/>
          <w:sz w:val="24"/>
          <w:szCs w:val="24"/>
          <w:lang w:val="hy-AM"/>
        </w:rPr>
        <w:tab/>
        <w:t xml:space="preserve"> Այլ եկամուտների գծով նախատեսված 14 000.0 հազար դրամ եկամտի  դիմաց փաստացի եկամուտը կազմել է 16 949.9 հազար դրամ, տոկոսային արտահայտությամբ  կատարվել է  121.1  %-ով, տարեկան պլանի նկատմամբ  կատարվելով  23.5  %-ով:</w:t>
      </w:r>
      <w:r w:rsidRPr="009B53D7">
        <w:rPr>
          <w:rFonts w:ascii="GHEA Grapalat" w:hAnsi="GHEA Grapalat"/>
          <w:sz w:val="24"/>
          <w:szCs w:val="24"/>
          <w:lang w:val="hy-AM"/>
        </w:rPr>
        <w:tab/>
        <w:t xml:space="preserve">           Հաշվետու   ժամանակաշրջանում  բյուջեի  ծախսային  մասով  նախատեսած 577 091.2 հազար  դրամի   դիմաց  փաստացի  ծախսը   կազմել  է 224 679.9  հազար  դրամ, այն   կատարվել  է  39.0  % -ով: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Ընդհանուր բնույթի  հանրային ծառայությունների  հատվածին հատկացվել է 31 512.6 հազար դրամ, որը կազմում է փաստացի կատարված  ծախսերի 14.0 %-ը:        Տնտեսական հարաբերությունների գծով հատվածին  հատկացվել է 8 950.0 հազար դրամ, որը կազմում է  փաստացի կատարված  ծախսերի 4.0 %-ը: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57 225.2 հազար դրամ, նախատեսված 47 085.0 հազար դրամի դիմաց  կատարվելով  121.5 %-ով: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Շրջակա միջավայրի պաշտպանության համար  հատկացվել է  61 509.5 հազար դրամ, որը կազմում է փաստացի կատարված ծախսերի 27.4 %-ը: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Բնակարանային շինարարության և կոմունալ ծառայության  համար հատկացվել է                30 861.6  հազար դրամ, որը կազմում է փաստացի կատարված  ծախսերի 13.7 %-ը:</w:t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Հանգիստ, մշակույթ և կրոն ոլորտի  պահպանման համար հատկացվել է 2 988.8 հազար դրամ, կազմելով փաստացի կատարված  ծախսերի 1.3 %-ը:</w:t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 Նախադպրոցական հիմնարկների պահպանման  համար  հատկացվել է 56 638.5 հազար դրամ, որը կազմում է փաստացի կատարված  ծախսերի 25.2  %-ը, իսկ արտադպրոցական հիմնարկների պահպանման համար հատկացվել է 32 218.8 հազար դրամ, որը կազմում է փաստացի կատարված  ծախսերի 14.3 %-ը: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  Սոցիալական պաշտպանություն ոլորտի  համար հաշվետու ժամանակաշրջանում գումար չի հատկացվել: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Հաշվետու  ժամանակաշրջանում  ընթացիկ  ծախսերի (վարչական բյուջե)  ֆինանսավորմանը   հատկացվել  է 205 544.9  հազար   դրամ, որը  կազմում  է   փաստացի կատարված  ծախսերի  91.5  %-ը: Ընթացիկ ծախսերից աշխատանքի վարձատրության հոդվածին  հատկացվել է 8.9 %-ը, ծառայությունների և ապրանքների ձեռք բերմանը՝ 5.2 %-ը։ Սուբսիդիաների տեսքով  ոչ ֆինանսական պետական (hամայնքային) կազմակերպություններին է հատկացվել համայնքի վարչական բյուջեի փաստացի կատարված ծախսերի 70.2 %-ը կամ 157 690.4 հազար դրամ,  դրամաշնորհների և սոցիալական նպաստներ բյուջեից հոդվածներով ծախս չի կատարվել։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Հաշվետու   ժամանակաշրջանում  համայնքային  բյուջեի   ծախսերի  8.5 %-ը  </w:t>
      </w:r>
      <w:r w:rsidRPr="009B53D7">
        <w:rPr>
          <w:rFonts w:ascii="GHEA Grapalat" w:hAnsi="GHEA Grapalat"/>
          <w:sz w:val="24"/>
          <w:szCs w:val="24"/>
          <w:lang w:val="hy-AM"/>
        </w:rPr>
        <w:lastRenderedPageBreak/>
        <w:t>կամ 19 135.0 հազար  դրամը ուղղվել է ոչ ֆինանսական ակտիվների գծով  ծախսերի   ֆինանսավորմանը, որի միջոցների  հիմնական մասը` 18 150.0  հազար դրամը  կամ  94.9  %-ը տրամադրվել   է    վարչական  սարքավորումներ  ձեռք   բերելու  համար, 985.0 հազար դրամը կամ ֆոնդային բյուջեի ծախսերի 5.1 %-ը հատկացվել է նախագծահետազոտական աշխատանքների կատարմանը:</w:t>
      </w:r>
      <w:r w:rsidRPr="009B53D7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   Աբովյան  համայնքի   բյուջեի  պակասուրդը  (դեֆիցիտը)  կազմել է  389 403.4   հազար դրամ (տես  հատված  4):  Պակասուրդի (դեֆիցիտի)  ֆինանսավորմանն  է  ուղղվել  տարեսկզբի ազատ մնացորդը՝ 383403.4   հազար դրամ  (տես  հատված  5), իսկ հաշվետու ժամանակաշրջանի վերջում բյուջեի հավելուրդը կազմել է 214410.2 հազար դրամ:  </w:t>
      </w:r>
      <w:r w:rsidRPr="009B53D7">
        <w:rPr>
          <w:rFonts w:ascii="GHEA Grapalat" w:hAnsi="GHEA Grapalat"/>
          <w:sz w:val="24"/>
          <w:szCs w:val="24"/>
          <w:lang w:val="hy-AM"/>
        </w:rPr>
        <w:tab/>
      </w:r>
      <w:r w:rsidRPr="009B53D7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 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>2019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  Աբովյան համայնքի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045DB8" w:rsidRPr="009B53D7" w:rsidRDefault="00045DB8" w:rsidP="009B53D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15B61" w:rsidRPr="009B53D7" w:rsidRDefault="00215B61" w:rsidP="009B53D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A0719" w:rsidRPr="009B53D7" w:rsidRDefault="00045DB8" w:rsidP="009B53D7">
      <w:pPr>
        <w:jc w:val="center"/>
        <w:rPr>
          <w:rFonts w:ascii="GHEA Grapalat" w:hAnsi="GHEA Grapalat"/>
          <w:sz w:val="24"/>
          <w:szCs w:val="24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</w:r>
      <w:r w:rsidRPr="009B53D7">
        <w:rPr>
          <w:rFonts w:ascii="GHEA Grapalat" w:hAnsi="GHEA Grapalat"/>
          <w:b/>
          <w:sz w:val="24"/>
          <w:szCs w:val="24"/>
          <w:lang w:val="hy-AM"/>
        </w:rPr>
        <w:tab/>
        <w:t>Վ. ԳԵՎՈՐԳՅԱՆ</w:t>
      </w:r>
    </w:p>
    <w:sectPr w:rsidR="00AA0719" w:rsidRPr="009B53D7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5DB8"/>
    <w:rsid w:val="000327D5"/>
    <w:rsid w:val="00045DB8"/>
    <w:rsid w:val="001A096D"/>
    <w:rsid w:val="00207AB5"/>
    <w:rsid w:val="00215B61"/>
    <w:rsid w:val="003643F8"/>
    <w:rsid w:val="00504050"/>
    <w:rsid w:val="0053422C"/>
    <w:rsid w:val="0053792A"/>
    <w:rsid w:val="005643A9"/>
    <w:rsid w:val="00594C12"/>
    <w:rsid w:val="00773D03"/>
    <w:rsid w:val="007C1EB3"/>
    <w:rsid w:val="00835F45"/>
    <w:rsid w:val="00886E0C"/>
    <w:rsid w:val="009B53D7"/>
    <w:rsid w:val="009C320E"/>
    <w:rsid w:val="009E7CC2"/>
    <w:rsid w:val="00AA0719"/>
    <w:rsid w:val="00AC38AA"/>
    <w:rsid w:val="00C300D3"/>
    <w:rsid w:val="00C45BAE"/>
    <w:rsid w:val="00DA60E0"/>
    <w:rsid w:val="00F22363"/>
    <w:rsid w:val="00FA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B53D7"/>
    <w:rPr>
      <w:rFonts w:ascii="Times LatArm" w:eastAsia="Times New Roman" w:hAnsi="Times LatArm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21</cp:revision>
  <cp:lastPrinted>2019-04-10T11:44:00Z</cp:lastPrinted>
  <dcterms:created xsi:type="dcterms:W3CDTF">2016-07-14T11:53:00Z</dcterms:created>
  <dcterms:modified xsi:type="dcterms:W3CDTF">2019-04-10T11:44:00Z</dcterms:modified>
</cp:coreProperties>
</file>